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0FD" w:rsidRDefault="00C300FD" w:rsidP="00C300FD">
      <w:pPr>
        <w:jc w:val="right"/>
      </w:pPr>
      <w:r>
        <w:t>Decem</w:t>
      </w:r>
      <w:r>
        <w:t>ber 18, 2014</w:t>
      </w:r>
    </w:p>
    <w:p w:rsidR="00C300FD" w:rsidRDefault="00C300FD" w:rsidP="00C300FD">
      <w:r>
        <w:t xml:space="preserve">Dear Psychology </w:t>
      </w:r>
      <w:r>
        <w:t>Seniors</w:t>
      </w:r>
      <w:r>
        <w:t>,</w:t>
      </w:r>
      <w:bookmarkStart w:id="0" w:name="_GoBack"/>
      <w:bookmarkEnd w:id="0"/>
    </w:p>
    <w:p w:rsidR="0074526F" w:rsidRPr="00B74C30" w:rsidRDefault="0074526F" w:rsidP="0074526F">
      <w:pPr>
        <w:spacing w:after="0"/>
        <w:rPr>
          <w:i/>
        </w:rPr>
      </w:pPr>
      <w:r>
        <w:t xml:space="preserve">As you </w:t>
      </w:r>
      <w:r w:rsidR="00782687">
        <w:t xml:space="preserve">prepare to </w:t>
      </w:r>
      <w:r>
        <w:t xml:space="preserve">enter your final semester, you may have some questions about your eligibility for non-thesis honors. We’ve briefly summarized how non-thesis honors is calculated and provided some tips and action items for things you should be aware of that might affect your eligibility. </w:t>
      </w:r>
      <w:r w:rsidRPr="00B74C30">
        <w:rPr>
          <w:i/>
        </w:rPr>
        <w:t xml:space="preserve">If you are a </w:t>
      </w:r>
      <w:r w:rsidRPr="00B74C30">
        <w:rPr>
          <w:i/>
          <w:u w:val="single"/>
        </w:rPr>
        <w:t>senior thesis writer</w:t>
      </w:r>
      <w:r w:rsidRPr="00B74C30">
        <w:rPr>
          <w:i/>
        </w:rPr>
        <w:t xml:space="preserve">, this does </w:t>
      </w:r>
      <w:r w:rsidRPr="00B74C30">
        <w:rPr>
          <w:i/>
          <w:u w:val="single"/>
        </w:rPr>
        <w:t>not</w:t>
      </w:r>
      <w:r w:rsidRPr="00B74C30">
        <w:rPr>
          <w:i/>
        </w:rPr>
        <w:t xml:space="preserve"> apply to you.   </w:t>
      </w:r>
    </w:p>
    <w:p w:rsidR="0074526F" w:rsidRDefault="0074526F" w:rsidP="0074526F">
      <w:pPr>
        <w:spacing w:after="0"/>
      </w:pPr>
      <w:r>
        <w:t xml:space="preserve">                                                                                                                                                                                                                                                                                                                                                                                                                                     </w:t>
      </w:r>
    </w:p>
    <w:p w:rsidR="0074526F" w:rsidRPr="00C162CA" w:rsidRDefault="0074526F" w:rsidP="0074526F">
      <w:pPr>
        <w:spacing w:after="0"/>
      </w:pPr>
      <w:r w:rsidRPr="00C162CA">
        <w:rPr>
          <w:u w:val="single"/>
        </w:rPr>
        <w:t>Non-thesis honors explanation</w:t>
      </w:r>
      <w:r w:rsidRPr="00C162CA">
        <w:t>:</w:t>
      </w:r>
    </w:p>
    <w:p w:rsidR="0074526F" w:rsidRPr="00C162CA" w:rsidRDefault="0074526F" w:rsidP="0074526F">
      <w:pPr>
        <w:pStyle w:val="ListParagraph"/>
        <w:numPr>
          <w:ilvl w:val="0"/>
          <w:numId w:val="1"/>
        </w:numPr>
        <w:spacing w:after="0"/>
      </w:pPr>
      <w:r w:rsidRPr="00C162CA">
        <w:t xml:space="preserve">Your final concentration GPA must be 3.85 or higher. Concentration GPA is calculated from a student's best twelve half-courses that meet the requirements, including final semester grades. Check your progress memo </w:t>
      </w:r>
      <w:r w:rsidR="00A45373">
        <w:t xml:space="preserve">that </w:t>
      </w:r>
      <w:r w:rsidRPr="00C162CA">
        <w:t xml:space="preserve">you’ll receive in January from your adviser to see which courses are counting! </w:t>
      </w:r>
    </w:p>
    <w:p w:rsidR="0074526F" w:rsidRPr="00C162CA" w:rsidRDefault="0074526F" w:rsidP="0074526F">
      <w:pPr>
        <w:pStyle w:val="ListParagraph"/>
        <w:numPr>
          <w:ilvl w:val="0"/>
          <w:numId w:val="1"/>
        </w:numPr>
        <w:spacing w:after="0"/>
      </w:pPr>
      <w:r w:rsidRPr="00C162CA">
        <w:t xml:space="preserve">The courses that meet the requirements include the Introductory Course requirement, Foundational Courses (as required), Basic and Research Methods, Sophomore Tutorial, the required number of Advanced Courses, and any additional track-specific courses. See the </w:t>
      </w:r>
      <w:hyperlink r:id="rId6" w:history="1">
        <w:r w:rsidRPr="0001263A">
          <w:rPr>
            <w:rStyle w:val="Hyperlink"/>
          </w:rPr>
          <w:t>requirements chart</w:t>
        </w:r>
      </w:hyperlink>
      <w:r w:rsidRPr="00C162CA">
        <w:t xml:space="preserve"> for details of each track.</w:t>
      </w:r>
    </w:p>
    <w:p w:rsidR="0074526F" w:rsidRPr="00C162CA" w:rsidRDefault="0074526F" w:rsidP="0074526F">
      <w:pPr>
        <w:pStyle w:val="ListParagraph"/>
        <w:numPr>
          <w:ilvl w:val="0"/>
          <w:numId w:val="1"/>
        </w:numPr>
        <w:spacing w:after="0"/>
      </w:pPr>
      <w:r w:rsidRPr="00C162CA">
        <w:t>If a student has extra courses that meet the requirements, for example, if a student has taken 7 Advanced Courses and only 6 are required, the best 6 grades for Advanced Courses will be counted if the student is eligible for non-thesis honors.</w:t>
      </w:r>
    </w:p>
    <w:p w:rsidR="0074526F" w:rsidRPr="00C162CA" w:rsidRDefault="0074526F" w:rsidP="0074526F">
      <w:pPr>
        <w:pStyle w:val="ListParagraph"/>
        <w:numPr>
          <w:ilvl w:val="0"/>
          <w:numId w:val="1"/>
        </w:numPr>
        <w:spacing w:after="0"/>
      </w:pPr>
      <w:r w:rsidRPr="00C162CA">
        <w:t xml:space="preserve">Students who meet the 3.85 cutoff will receive a departmental (English) recommendation of Honors. With a departmental recommendation of Honors, you are only eligible for the Latin Honors option of Cum Laude when the College determines Latin Honors. An in-depth explanation of </w:t>
      </w:r>
      <w:hyperlink r:id="rId7" w:history="1">
        <w:r w:rsidRPr="00784055">
          <w:rPr>
            <w:rStyle w:val="Hyperlink"/>
          </w:rPr>
          <w:t>English and Latin Honors can be found here</w:t>
        </w:r>
      </w:hyperlink>
      <w:r w:rsidRPr="00C162CA">
        <w:t xml:space="preserve">. </w:t>
      </w:r>
    </w:p>
    <w:p w:rsidR="0074526F" w:rsidRPr="00C162CA" w:rsidRDefault="0074526F" w:rsidP="0074526F">
      <w:pPr>
        <w:pStyle w:val="ListParagraph"/>
        <w:spacing w:after="0"/>
      </w:pPr>
    </w:p>
    <w:p w:rsidR="0074526F" w:rsidRPr="00C162CA" w:rsidRDefault="0074526F" w:rsidP="0074526F">
      <w:pPr>
        <w:spacing w:after="0"/>
      </w:pPr>
      <w:r w:rsidRPr="00C162CA">
        <w:rPr>
          <w:u w:val="single"/>
        </w:rPr>
        <w:t>Action items for checking non-thesis honors eligibility</w:t>
      </w:r>
      <w:r w:rsidRPr="00C162CA">
        <w:t>:</w:t>
      </w:r>
    </w:p>
    <w:p w:rsidR="0074526F" w:rsidRPr="00C162CA" w:rsidRDefault="0074526F" w:rsidP="0074526F">
      <w:pPr>
        <w:spacing w:after="0"/>
        <w:rPr>
          <w:i/>
        </w:rPr>
      </w:pPr>
      <w:r w:rsidRPr="00C162CA">
        <w:rPr>
          <w:i/>
        </w:rPr>
        <w:t>If you’re curious about changes you can request for non-thesis honors eligibility, here are some things to check:</w:t>
      </w:r>
    </w:p>
    <w:p w:rsidR="0074526F" w:rsidRPr="00C162CA" w:rsidRDefault="0074526F" w:rsidP="0074526F">
      <w:pPr>
        <w:pStyle w:val="ListParagraph"/>
        <w:numPr>
          <w:ilvl w:val="0"/>
          <w:numId w:val="2"/>
        </w:numPr>
        <w:spacing w:after="0"/>
      </w:pPr>
      <w:r w:rsidRPr="00C162CA">
        <w:t xml:space="preserve">Switching tracks (if you are able to meet the requirements for the other track, it might change your concentration GPA. See the </w:t>
      </w:r>
      <w:hyperlink r:id="rId8" w:history="1">
        <w:r w:rsidRPr="00784055">
          <w:rPr>
            <w:rStyle w:val="Hyperlink"/>
          </w:rPr>
          <w:t>requirements chart</w:t>
        </w:r>
      </w:hyperlink>
      <w:r w:rsidRPr="00C162CA">
        <w:t xml:space="preserve"> to check). Email </w:t>
      </w:r>
      <w:proofErr w:type="spellStart"/>
      <w:r w:rsidRPr="00C162CA">
        <w:t>psychology@wjh</w:t>
      </w:r>
      <w:proofErr w:type="spellEnd"/>
      <w:r w:rsidRPr="00C162CA">
        <w:t xml:space="preserve"> to request a change.</w:t>
      </w:r>
    </w:p>
    <w:p w:rsidR="0074526F" w:rsidRPr="00C162CA" w:rsidRDefault="0074526F" w:rsidP="0074526F">
      <w:pPr>
        <w:pStyle w:val="ListParagraph"/>
        <w:numPr>
          <w:ilvl w:val="0"/>
          <w:numId w:val="2"/>
        </w:numPr>
        <w:spacing w:after="0"/>
      </w:pPr>
      <w:r w:rsidRPr="00C162CA">
        <w:t xml:space="preserve">Counting </w:t>
      </w:r>
      <w:hyperlink r:id="rId9" w:history="1">
        <w:r w:rsidRPr="00784055">
          <w:rPr>
            <w:rStyle w:val="Hyperlink"/>
          </w:rPr>
          <w:t>non-departmental courses</w:t>
        </w:r>
      </w:hyperlink>
      <w:r w:rsidRPr="00C162CA">
        <w:t xml:space="preserve"> (We only count the non-departmental courses you have requested. Keep in mind the limits by track). Email </w:t>
      </w:r>
      <w:proofErr w:type="spellStart"/>
      <w:r w:rsidRPr="00C162CA">
        <w:t>psychology@wjh</w:t>
      </w:r>
      <w:proofErr w:type="spellEnd"/>
      <w:r w:rsidRPr="00C162CA">
        <w:t xml:space="preserve"> to request a new or different course. </w:t>
      </w:r>
    </w:p>
    <w:p w:rsidR="0074526F" w:rsidRPr="00C162CA" w:rsidRDefault="0074526F" w:rsidP="0074526F">
      <w:pPr>
        <w:pStyle w:val="ListParagraph"/>
        <w:numPr>
          <w:ilvl w:val="0"/>
          <w:numId w:val="2"/>
        </w:numPr>
        <w:spacing w:after="0"/>
      </w:pPr>
      <w:r w:rsidRPr="00C162CA">
        <w:t xml:space="preserve">The Psychology Undergraduate Office will not be checking for any of these things unless an email requesting a change has been received. </w:t>
      </w:r>
    </w:p>
    <w:p w:rsidR="0074526F" w:rsidRPr="00C162CA" w:rsidRDefault="0074526F" w:rsidP="0074526F">
      <w:pPr>
        <w:pStyle w:val="ListParagraph"/>
        <w:numPr>
          <w:ilvl w:val="0"/>
          <w:numId w:val="2"/>
        </w:numPr>
        <w:spacing w:after="0"/>
      </w:pPr>
      <w:r w:rsidRPr="00C162CA">
        <w:t xml:space="preserve">Specific questions about this? Email </w:t>
      </w:r>
      <w:hyperlink r:id="rId10" w:history="1">
        <w:r w:rsidRPr="00784055">
          <w:rPr>
            <w:rStyle w:val="Hyperlink"/>
          </w:rPr>
          <w:t>Melissa</w:t>
        </w:r>
      </w:hyperlink>
      <w:r w:rsidRPr="00C162CA">
        <w:t xml:space="preserve">. </w:t>
      </w:r>
    </w:p>
    <w:p w:rsidR="0074526F" w:rsidRPr="00C162CA" w:rsidRDefault="0074526F" w:rsidP="0074526F">
      <w:pPr>
        <w:pStyle w:val="ListParagraph"/>
        <w:numPr>
          <w:ilvl w:val="0"/>
          <w:numId w:val="2"/>
        </w:numPr>
        <w:spacing w:after="0"/>
      </w:pPr>
      <w:r w:rsidRPr="0001263A">
        <w:rPr>
          <w:b/>
          <w:u w:val="single"/>
        </w:rPr>
        <w:t>Any requests for changes must be emailed by January 30</w:t>
      </w:r>
      <w:r w:rsidRPr="00C162CA">
        <w:t xml:space="preserve"> to </w:t>
      </w:r>
      <w:hyperlink r:id="rId11" w:history="1">
        <w:r w:rsidRPr="00F57B65">
          <w:rPr>
            <w:rStyle w:val="Hyperlink"/>
          </w:rPr>
          <w:t>psychology@wjh.harvard.edu</w:t>
        </w:r>
      </w:hyperlink>
      <w:r w:rsidRPr="00C162CA">
        <w:t>.</w:t>
      </w:r>
    </w:p>
    <w:p w:rsidR="0074526F" w:rsidRDefault="0074526F" w:rsidP="0074526F">
      <w:pPr>
        <w:pStyle w:val="ListParagraph"/>
        <w:spacing w:after="0"/>
      </w:pPr>
    </w:p>
    <w:p w:rsidR="0074526F" w:rsidRPr="00CA4636" w:rsidRDefault="0074526F" w:rsidP="0074526F">
      <w:pPr>
        <w:spacing w:after="0"/>
      </w:pPr>
      <w:r w:rsidRPr="00CA4636">
        <w:t>Below are the grade point equivalents for letter grades, so you can calculate your concentration GPA:</w:t>
      </w:r>
    </w:p>
    <w:tbl>
      <w:tblPr>
        <w:tblStyle w:val="TableGrid"/>
        <w:tblW w:w="0" w:type="auto"/>
        <w:tblLook w:val="04A0" w:firstRow="1" w:lastRow="0" w:firstColumn="1" w:lastColumn="0" w:noHBand="0" w:noVBand="1"/>
      </w:tblPr>
      <w:tblGrid>
        <w:gridCol w:w="1373"/>
        <w:gridCol w:w="1373"/>
      </w:tblGrid>
      <w:tr w:rsidR="0074526F" w:rsidTr="00B3436C">
        <w:trPr>
          <w:trHeight w:val="283"/>
        </w:trPr>
        <w:tc>
          <w:tcPr>
            <w:tcW w:w="1373" w:type="dxa"/>
          </w:tcPr>
          <w:p w:rsidR="0074526F" w:rsidRDefault="0074526F" w:rsidP="00B3436C">
            <w:r>
              <w:t>A</w:t>
            </w:r>
          </w:p>
        </w:tc>
        <w:tc>
          <w:tcPr>
            <w:tcW w:w="1373" w:type="dxa"/>
          </w:tcPr>
          <w:p w:rsidR="0074526F" w:rsidRDefault="0074526F" w:rsidP="00B3436C">
            <w:r>
              <w:t>4</w:t>
            </w:r>
          </w:p>
        </w:tc>
      </w:tr>
      <w:tr w:rsidR="0074526F" w:rsidTr="00B3436C">
        <w:trPr>
          <w:trHeight w:val="283"/>
        </w:trPr>
        <w:tc>
          <w:tcPr>
            <w:tcW w:w="1373" w:type="dxa"/>
          </w:tcPr>
          <w:p w:rsidR="0074526F" w:rsidRDefault="0074526F" w:rsidP="00B3436C">
            <w:r>
              <w:lastRenderedPageBreak/>
              <w:t>A-</w:t>
            </w:r>
          </w:p>
        </w:tc>
        <w:tc>
          <w:tcPr>
            <w:tcW w:w="1373" w:type="dxa"/>
          </w:tcPr>
          <w:p w:rsidR="0074526F" w:rsidRDefault="0074526F" w:rsidP="00B3436C">
            <w:r>
              <w:t>3.67</w:t>
            </w:r>
          </w:p>
        </w:tc>
      </w:tr>
      <w:tr w:rsidR="0074526F" w:rsidTr="00B3436C">
        <w:trPr>
          <w:trHeight w:val="267"/>
        </w:trPr>
        <w:tc>
          <w:tcPr>
            <w:tcW w:w="1373" w:type="dxa"/>
          </w:tcPr>
          <w:p w:rsidR="0074526F" w:rsidRDefault="0074526F" w:rsidP="00B3436C">
            <w:r>
              <w:t>B+</w:t>
            </w:r>
          </w:p>
        </w:tc>
        <w:tc>
          <w:tcPr>
            <w:tcW w:w="1373" w:type="dxa"/>
          </w:tcPr>
          <w:p w:rsidR="0074526F" w:rsidRDefault="0074526F" w:rsidP="00B3436C">
            <w:r>
              <w:t>3.33</w:t>
            </w:r>
          </w:p>
        </w:tc>
      </w:tr>
      <w:tr w:rsidR="0074526F" w:rsidTr="00B3436C">
        <w:trPr>
          <w:trHeight w:val="283"/>
        </w:trPr>
        <w:tc>
          <w:tcPr>
            <w:tcW w:w="1373" w:type="dxa"/>
          </w:tcPr>
          <w:p w:rsidR="0074526F" w:rsidRPr="00582FAA" w:rsidRDefault="0074526F" w:rsidP="00B3436C">
            <w:r w:rsidRPr="00582FAA">
              <w:t>B</w:t>
            </w:r>
          </w:p>
        </w:tc>
        <w:tc>
          <w:tcPr>
            <w:tcW w:w="1373" w:type="dxa"/>
          </w:tcPr>
          <w:p w:rsidR="0074526F" w:rsidRDefault="0074526F" w:rsidP="00B3436C">
            <w:r>
              <w:t>3</w:t>
            </w:r>
          </w:p>
        </w:tc>
      </w:tr>
      <w:tr w:rsidR="0074526F" w:rsidTr="00B3436C">
        <w:trPr>
          <w:trHeight w:val="267"/>
        </w:trPr>
        <w:tc>
          <w:tcPr>
            <w:tcW w:w="1373" w:type="dxa"/>
          </w:tcPr>
          <w:p w:rsidR="0074526F" w:rsidRDefault="0074526F" w:rsidP="00B3436C">
            <w:r>
              <w:t>B-</w:t>
            </w:r>
          </w:p>
        </w:tc>
        <w:tc>
          <w:tcPr>
            <w:tcW w:w="1373" w:type="dxa"/>
          </w:tcPr>
          <w:p w:rsidR="0074526F" w:rsidRDefault="0074526F" w:rsidP="00B3436C">
            <w:r>
              <w:t>2.67</w:t>
            </w:r>
          </w:p>
        </w:tc>
      </w:tr>
      <w:tr w:rsidR="0074526F" w:rsidTr="00B3436C">
        <w:trPr>
          <w:trHeight w:val="283"/>
        </w:trPr>
        <w:tc>
          <w:tcPr>
            <w:tcW w:w="1373" w:type="dxa"/>
          </w:tcPr>
          <w:p w:rsidR="0074526F" w:rsidRDefault="0074526F" w:rsidP="00B3436C">
            <w:r>
              <w:t>C+</w:t>
            </w:r>
          </w:p>
        </w:tc>
        <w:tc>
          <w:tcPr>
            <w:tcW w:w="1373" w:type="dxa"/>
          </w:tcPr>
          <w:p w:rsidR="0074526F" w:rsidRDefault="0074526F" w:rsidP="00B3436C">
            <w:r>
              <w:t>2.33</w:t>
            </w:r>
          </w:p>
        </w:tc>
      </w:tr>
      <w:tr w:rsidR="0074526F" w:rsidTr="00B3436C">
        <w:trPr>
          <w:trHeight w:val="267"/>
        </w:trPr>
        <w:tc>
          <w:tcPr>
            <w:tcW w:w="1373" w:type="dxa"/>
          </w:tcPr>
          <w:p w:rsidR="0074526F" w:rsidRDefault="0074526F" w:rsidP="00B3436C">
            <w:r>
              <w:t>C</w:t>
            </w:r>
          </w:p>
        </w:tc>
        <w:tc>
          <w:tcPr>
            <w:tcW w:w="1373" w:type="dxa"/>
          </w:tcPr>
          <w:p w:rsidR="0074526F" w:rsidRDefault="0074526F" w:rsidP="00B3436C">
            <w:r>
              <w:t>2</w:t>
            </w:r>
          </w:p>
        </w:tc>
      </w:tr>
      <w:tr w:rsidR="0074526F" w:rsidTr="00B3436C">
        <w:trPr>
          <w:trHeight w:val="298"/>
        </w:trPr>
        <w:tc>
          <w:tcPr>
            <w:tcW w:w="1373" w:type="dxa"/>
          </w:tcPr>
          <w:p w:rsidR="0074526F" w:rsidRDefault="0074526F" w:rsidP="00B3436C">
            <w:r>
              <w:t>C-</w:t>
            </w:r>
          </w:p>
        </w:tc>
        <w:tc>
          <w:tcPr>
            <w:tcW w:w="1373" w:type="dxa"/>
          </w:tcPr>
          <w:p w:rsidR="0074526F" w:rsidRDefault="0074526F" w:rsidP="00B3436C">
            <w:r>
              <w:t>1.67</w:t>
            </w:r>
          </w:p>
        </w:tc>
      </w:tr>
      <w:tr w:rsidR="0074526F" w:rsidTr="00B3436C">
        <w:trPr>
          <w:trHeight w:val="298"/>
        </w:trPr>
        <w:tc>
          <w:tcPr>
            <w:tcW w:w="1373" w:type="dxa"/>
          </w:tcPr>
          <w:p w:rsidR="0074526F" w:rsidRDefault="0074526F" w:rsidP="00B3436C">
            <w:r>
              <w:t>D+</w:t>
            </w:r>
          </w:p>
        </w:tc>
        <w:tc>
          <w:tcPr>
            <w:tcW w:w="1373" w:type="dxa"/>
          </w:tcPr>
          <w:p w:rsidR="0074526F" w:rsidRDefault="0074526F" w:rsidP="00B3436C">
            <w:r>
              <w:t>1.33</w:t>
            </w:r>
          </w:p>
        </w:tc>
      </w:tr>
      <w:tr w:rsidR="0074526F" w:rsidTr="00B3436C">
        <w:trPr>
          <w:trHeight w:val="298"/>
        </w:trPr>
        <w:tc>
          <w:tcPr>
            <w:tcW w:w="1373" w:type="dxa"/>
          </w:tcPr>
          <w:p w:rsidR="0074526F" w:rsidRDefault="0074526F" w:rsidP="00B3436C">
            <w:r>
              <w:t>D</w:t>
            </w:r>
          </w:p>
        </w:tc>
        <w:tc>
          <w:tcPr>
            <w:tcW w:w="1373" w:type="dxa"/>
          </w:tcPr>
          <w:p w:rsidR="0074526F" w:rsidRDefault="0074526F" w:rsidP="00B3436C">
            <w:r>
              <w:t>1</w:t>
            </w:r>
          </w:p>
        </w:tc>
      </w:tr>
      <w:tr w:rsidR="0074526F" w:rsidTr="00B3436C">
        <w:trPr>
          <w:trHeight w:val="298"/>
        </w:trPr>
        <w:tc>
          <w:tcPr>
            <w:tcW w:w="1373" w:type="dxa"/>
          </w:tcPr>
          <w:p w:rsidR="0074526F" w:rsidRDefault="0074526F" w:rsidP="00B3436C">
            <w:r>
              <w:t>D-</w:t>
            </w:r>
          </w:p>
        </w:tc>
        <w:tc>
          <w:tcPr>
            <w:tcW w:w="1373" w:type="dxa"/>
          </w:tcPr>
          <w:p w:rsidR="0074526F" w:rsidRDefault="0074526F" w:rsidP="00B3436C">
            <w:r>
              <w:t>.67</w:t>
            </w:r>
          </w:p>
        </w:tc>
      </w:tr>
      <w:tr w:rsidR="0074526F" w:rsidTr="00B3436C">
        <w:trPr>
          <w:trHeight w:val="298"/>
        </w:trPr>
        <w:tc>
          <w:tcPr>
            <w:tcW w:w="1373" w:type="dxa"/>
          </w:tcPr>
          <w:p w:rsidR="0074526F" w:rsidRDefault="0074526F" w:rsidP="00B3436C">
            <w:r>
              <w:t>E</w:t>
            </w:r>
          </w:p>
        </w:tc>
        <w:tc>
          <w:tcPr>
            <w:tcW w:w="1373" w:type="dxa"/>
          </w:tcPr>
          <w:p w:rsidR="0074526F" w:rsidRDefault="0074526F" w:rsidP="00B3436C">
            <w:r>
              <w:t>0</w:t>
            </w:r>
          </w:p>
        </w:tc>
      </w:tr>
    </w:tbl>
    <w:p w:rsidR="0074526F" w:rsidRDefault="0074526F" w:rsidP="0074526F">
      <w:pPr>
        <w:spacing w:after="0"/>
      </w:pPr>
    </w:p>
    <w:p w:rsidR="0074526F" w:rsidRDefault="0074526F" w:rsidP="0074526F">
      <w:pPr>
        <w:spacing w:after="0"/>
      </w:pPr>
      <w:r>
        <w:t xml:space="preserve">This will be our last email for the fall semester.  Emails will resume on January 22, 2015 with important updates for the spring semester so be on the lookout for this. We will still send odds &amp; ends emails with information about upcoming events &amp; programs.  </w:t>
      </w:r>
    </w:p>
    <w:p w:rsidR="0074526F" w:rsidRDefault="00C300FD" w:rsidP="0074526F">
      <w:pPr>
        <w:spacing w:before="100" w:beforeAutospacing="1" w:after="0" w:line="240" w:lineRule="auto"/>
        <w:rPr>
          <w:rFonts w:cstheme="minorHAnsi"/>
        </w:rPr>
      </w:pPr>
      <w:r w:rsidRPr="000C06AA">
        <w:rPr>
          <w:rFonts w:cstheme="minorHAnsi"/>
        </w:rPr>
        <w:t>We hope you have a restful break and happy New Year!</w:t>
      </w:r>
    </w:p>
    <w:p w:rsidR="00C300FD" w:rsidRDefault="00782687" w:rsidP="0074526F">
      <w:pPr>
        <w:spacing w:after="0" w:line="240" w:lineRule="auto"/>
      </w:pPr>
      <w:r>
        <w:rPr>
          <w:rFonts w:cstheme="minorHAnsi"/>
        </w:rPr>
        <w:br/>
      </w:r>
      <w:r w:rsidR="00C300FD">
        <w:rPr>
          <w:rFonts w:cstheme="minorHAnsi"/>
        </w:rPr>
        <w:t xml:space="preserve">Best wishes, </w:t>
      </w:r>
      <w:r w:rsidR="00C300FD">
        <w:rPr>
          <w:rFonts w:cstheme="minorHAnsi"/>
        </w:rPr>
        <w:br/>
      </w:r>
      <w:r w:rsidR="00C300FD" w:rsidRPr="000C06AA">
        <w:rPr>
          <w:rFonts w:cstheme="minorHAnsi"/>
        </w:rPr>
        <w:t>Laura Chivers</w:t>
      </w:r>
      <w:r w:rsidR="00C300FD">
        <w:rPr>
          <w:rFonts w:cstheme="minorHAnsi"/>
        </w:rPr>
        <w:t>,</w:t>
      </w:r>
      <w:r w:rsidR="00C300FD" w:rsidRPr="000C06AA">
        <w:rPr>
          <w:rFonts w:cstheme="minorHAnsi"/>
        </w:rPr>
        <w:t xml:space="preserve"> Melissa </w:t>
      </w:r>
      <w:r w:rsidR="00C300FD">
        <w:rPr>
          <w:rFonts w:cstheme="minorHAnsi"/>
        </w:rPr>
        <w:t>Dias, &amp; Jessica Estariz</w:t>
      </w:r>
      <w:r w:rsidR="00C300FD">
        <w:rPr>
          <w:rFonts w:cstheme="minorHAnsi"/>
        </w:rPr>
        <w:br/>
      </w:r>
    </w:p>
    <w:sectPr w:rsidR="00C30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37696"/>
    <w:multiLevelType w:val="hybridMultilevel"/>
    <w:tmpl w:val="4052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34352"/>
    <w:multiLevelType w:val="hybridMultilevel"/>
    <w:tmpl w:val="5308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FD"/>
    <w:rsid w:val="0074526F"/>
    <w:rsid w:val="00782687"/>
    <w:rsid w:val="008918DC"/>
    <w:rsid w:val="00A45373"/>
    <w:rsid w:val="00C300FD"/>
    <w:rsid w:val="00CA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6F"/>
    <w:pPr>
      <w:ind w:left="720"/>
      <w:contextualSpacing/>
    </w:pPr>
  </w:style>
  <w:style w:type="table" w:styleId="TableGrid">
    <w:name w:val="Table Grid"/>
    <w:basedOn w:val="TableNormal"/>
    <w:uiPriority w:val="59"/>
    <w:rsid w:val="00745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6F"/>
    <w:pPr>
      <w:ind w:left="720"/>
      <w:contextualSpacing/>
    </w:pPr>
  </w:style>
  <w:style w:type="table" w:styleId="TableGrid">
    <w:name w:val="Table Grid"/>
    <w:basedOn w:val="TableNormal"/>
    <w:uiPriority w:val="59"/>
    <w:rsid w:val="00745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4071">
      <w:bodyDiv w:val="1"/>
      <w:marLeft w:val="0"/>
      <w:marRight w:val="0"/>
      <w:marTop w:val="0"/>
      <w:marBottom w:val="0"/>
      <w:divBdr>
        <w:top w:val="none" w:sz="0" w:space="0" w:color="auto"/>
        <w:left w:val="none" w:sz="0" w:space="0" w:color="auto"/>
        <w:bottom w:val="none" w:sz="0" w:space="0" w:color="auto"/>
        <w:right w:val="none" w:sz="0" w:space="0" w:color="auto"/>
      </w:divBdr>
    </w:div>
    <w:div w:id="19451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jh.harvard.edu/psych/ug/requirements/charts/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handbook.fas.harvard.edu/icb/icb.do?keyword=k104674&amp;pageid=icb.page6733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jh.harvard.edu/psych/ug/requirements/charts/index.html" TargetMode="External"/><Relationship Id="rId11" Type="http://schemas.openxmlformats.org/officeDocument/2006/relationships/hyperlink" Target="mailto:psychology@wjh.harvard.edu" TargetMode="External"/><Relationship Id="rId5" Type="http://schemas.openxmlformats.org/officeDocument/2006/relationships/webSettings" Target="webSettings.xml"/><Relationship Id="rId10" Type="http://schemas.openxmlformats.org/officeDocument/2006/relationships/hyperlink" Target="mailto:melissadias@fas.harvard.edu" TargetMode="External"/><Relationship Id="rId4" Type="http://schemas.openxmlformats.org/officeDocument/2006/relationships/settings" Target="settings.xml"/><Relationship Id="rId9" Type="http://schemas.openxmlformats.org/officeDocument/2006/relationships/hyperlink" Target="http://www.wjh.harvard.edu/psych/ug/requirements/charts/electives.nondepartment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Dias, Melissa A. Y.</dc:creator>
  <cp:lastModifiedBy>Dias, Melissa A. Y.</cp:lastModifiedBy>
  <cp:revision>2</cp:revision>
  <dcterms:created xsi:type="dcterms:W3CDTF">2014-12-17T15:48:00Z</dcterms:created>
  <dcterms:modified xsi:type="dcterms:W3CDTF">2014-12-17T15:58:00Z</dcterms:modified>
</cp:coreProperties>
</file>